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tl w:val="0"/>
        </w:rPr>
        <w:t xml:space="preserve">    </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Order Schedule 6 (ICT Services)</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0"/>
          <w:tab w:val="left" w:pos="142"/>
        </w:tabs>
        <w:spacing w:after="240" w:before="120" w:line="240" w:lineRule="auto"/>
        <w:ind w:left="360" w:hanging="360"/>
        <w:rPr>
          <w:b w:val="1"/>
          <w:color w:val="000000"/>
          <w:sz w:val="24"/>
          <w:szCs w:val="24"/>
        </w:rPr>
      </w:pPr>
      <w:r w:rsidDel="00000000" w:rsidR="00000000" w:rsidRPr="00000000">
        <w:rPr>
          <w:b w:val="1"/>
          <w:color w:val="000000"/>
          <w:sz w:val="24"/>
          <w:szCs w:val="24"/>
          <w:rtl w:val="0"/>
        </w:rPr>
        <w:t xml:space="preserve">Definitions</w:t>
      </w:r>
    </w:p>
    <w:p w:rsidR="00000000" w:rsidDel="00000000" w:rsidP="00000000" w:rsidRDefault="00000000" w:rsidRPr="00000000" w14:paraId="00000004">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color w:val="000000"/>
          <w:sz w:val="24"/>
          <w:szCs w:val="24"/>
        </w:rPr>
      </w:pPr>
      <w:bookmarkStart w:colFirst="0" w:colLast="0" w:name="_heading=h.1pxezwc" w:id="0"/>
      <w:bookmarkEnd w:id="0"/>
      <w:r w:rsidDel="00000000" w:rsidR="00000000" w:rsidRPr="00000000">
        <w:rPr>
          <w:color w:val="000000"/>
          <w:sz w:val="24"/>
          <w:szCs w:val="24"/>
          <w:rtl w:val="0"/>
        </w:rPr>
        <w:t xml:space="preserve">In </w:t>
      </w:r>
      <w:r w:rsidDel="00000000" w:rsidR="00000000" w:rsidRPr="00000000">
        <w:rPr>
          <w:rFonts w:ascii="Arial" w:cs="Arial" w:eastAsia="Arial" w:hAnsi="Arial"/>
          <w:color w:val="000000"/>
          <w:sz w:val="24"/>
          <w:szCs w:val="24"/>
          <w:rtl w:val="0"/>
        </w:rPr>
        <w:t xml:space="preserve">this Schedule, the following words shall have the following meanings and they shall supplement Joint Schedule 1 (Definitions):</w:t>
      </w:r>
    </w:p>
    <w:tbl>
      <w:tblPr>
        <w:tblStyle w:val="Table1"/>
        <w:tblW w:w="8198.0" w:type="dxa"/>
        <w:jc w:val="left"/>
        <w:tblInd w:w="828.0" w:type="dxa"/>
        <w:tblLayout w:type="fixed"/>
        <w:tblLook w:val="0400"/>
      </w:tblPr>
      <w:tblGrid>
        <w:gridCol w:w="2736"/>
        <w:gridCol w:w="5462"/>
        <w:tblGridChange w:id="0">
          <w:tblGrid>
            <w:gridCol w:w="2736"/>
            <w:gridCol w:w="546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"Agency System"</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Agency in supplying the Goods or Services, including the COTS Software, the Agency Equipment, configuration and management utilities, calibration and testing tools and related cabling (but excluding the Client System);</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"Client Property" </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Client System, any equipment issued or made available to the Agency by the Client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"Client Software"</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Client and which is or will be used by the Agency for the purposes of providing the Goods or Services;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"Client System"</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Client's computing environment (consisting of hardware, software and/or telecommunications networks or equipment) used by the Client or the Agency in connection with this Contract which is owned by or licensed to the Client by a third party and which interfaces with the Agency System or which is necessary for the Client to receive the Goods or Services;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 off the shelf Software” or “COTS Software”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Agency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Goods or Services; or</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70" w:hanging="7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or failure of code within the Software which causes Goods or Services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Goods or Services to provide the performance, features and functionality specified in the requirements of the Client or the Documentation (including any adverse effect on response times) regardless of whether or not it prevents the relevant Goods or Services from passing any Test required under this Order Contract; or</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70" w:hanging="7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Goods or Services to operate in conjunction with or interface with any other Goods or Services in order to provide the performance, features and functionality specified in the requirements of the Client or the Documentation (including any adverse effect on response times) regardless of whether or not it prevents the relevant Goods or Services from passing any Test required under this Contract;</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Agency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System and the Agency System;</w:t>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Agency, its Sub-Contractors or any third party to the Client for the purposes of or pursuant to this Order Contract, including any COTS Software;</w:t>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Goods or Services by providing additional functionality or performance enhancement (whether or not defects in the Software and/or Goods or Services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Client System and any premises (including the Client Premises, the Agency’s premises or third party premises) from, to or at which:</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5"/>
                <w:tab w:val="left" w:pos="342"/>
              </w:tabs>
              <w:spacing w:after="120" w:lineRule="auto"/>
              <w:ind w:left="-18" w:hanging="7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Goods or Services are (or are to be) provided; or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5"/>
                <w:tab w:val="left" w:pos="342"/>
              </w:tabs>
              <w:spacing w:after="120" w:lineRule="auto"/>
              <w:ind w:left="-18" w:hanging="7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manages, organises or otherwise directs the provision or the use of the Goods or Services; or</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5"/>
                <w:tab w:val="left" w:pos="342"/>
              </w:tabs>
              <w:spacing w:after="120" w:lineRule="auto"/>
              <w:ind w:left="-18" w:hanging="7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Agency System is situated;</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Joint Schedule 1(Definitions), and for the purposes of this Order Schedule shall also include any premises from, to or at which physical interface with the Client System takes place;</w:t>
            </w:r>
          </w:p>
        </w:tc>
      </w:tr>
      <w:tr>
        <w:trPr>
          <w:cantSplit w:val="0"/>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Agency (or by a Sub-Contractor or other third party on behalf of the Agency) specifically for the purposes of this Contract, including any modifications or enhancements to COTS Software. For the avoidance of doubt Specially Written Software does not constitute New IPR;</w:t>
            </w:r>
          </w:p>
        </w:tc>
      </w:tr>
    </w:tbl>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tabs>
          <w:tab w:val="left" w:pos="0"/>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38">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Goods or Services.</w:t>
      </w:r>
      <w:r w:rsidDel="00000000" w:rsidR="00000000" w:rsidRPr="00000000">
        <w:rPr>
          <w:rtl w:val="0"/>
        </w:rPr>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tabs>
          <w:tab w:val="left" w:pos="0"/>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Client due diligence requirements </w:t>
      </w:r>
    </w:p>
    <w:p w:rsidR="00000000" w:rsidDel="00000000" w:rsidP="00000000" w:rsidRDefault="00000000" w:rsidRPr="00000000" w14:paraId="0000003A">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satisfy itself of all relevant details, including but not limited to, details relating to the following;</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bookmarkStart w:colFirst="0" w:colLast="0" w:name="_heading=h.49x2ik5" w:id="1"/>
      <w:bookmarkEnd w:id="1"/>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Goods or Services of the Clients Assets; and</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Agency under this Contract and/or which the Agency will require the benefit of for the provision of the Goods or Services.</w:t>
      </w:r>
    </w:p>
    <w:p w:rsidR="00000000" w:rsidDel="00000000" w:rsidP="00000000" w:rsidRDefault="00000000" w:rsidRPr="00000000" w14:paraId="0000003F">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confirms that it has advised the Client in writing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tabs>
          <w:tab w:val="left" w:pos="0"/>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2p2csry" w:id="2"/>
      <w:bookmarkEnd w:id="2"/>
      <w:r w:rsidDel="00000000" w:rsidR="00000000" w:rsidRPr="00000000">
        <w:rPr>
          <w:rFonts w:ascii="Arial" w:cs="Arial" w:eastAsia="Arial" w:hAnsi="Arial"/>
          <w:color w:val="000000"/>
          <w:sz w:val="24"/>
          <w:szCs w:val="24"/>
          <w:rtl w:val="0"/>
        </w:rPr>
        <w:t xml:space="preserve">The Agency represents and warrants that:</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spacing w:after="24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Agency (and/or any Sub-Contractor) to the Client which are necessary for the performance of the Agency’s obligations under this Contract including the receipt of the Goods or Services by the Client;</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7">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pos="851"/>
        </w:tabs>
        <w:spacing w:after="24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pos="0"/>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24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Agency  owns the IPR, or upgrade to any Software in which the Agency  owns the IPR complies with the interface requirements of the Client and (except in relation to new Software or upgrades which are released to address Malicious Software) shall notify the Client three (3) Months before the release of any new COTS Software or Upgrade;</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Agency are currently supported versions of that Software and perform in all material respects in accordance with the relevant specification;</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Agency System will be free of all encumbrances;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Goods or Services are fully compatible with any Client Software, Client System, or otherwise used by the Agency in connection with this Contract;</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Goods or Services;</w:t>
      </w:r>
    </w:p>
    <w:p w:rsidR="00000000" w:rsidDel="00000000" w:rsidP="00000000" w:rsidRDefault="00000000" w:rsidRPr="00000000" w14:paraId="00000051">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color w:val="000000"/>
          <w:sz w:val="24"/>
          <w:szCs w:val="24"/>
        </w:rPr>
      </w:pPr>
      <w:bookmarkStart w:colFirst="0" w:colLast="0" w:name="_heading=h.147n2zr" w:id="3"/>
      <w:bookmarkEnd w:id="3"/>
      <w:r w:rsidDel="00000000" w:rsidR="00000000" w:rsidRPr="00000000">
        <w:rPr>
          <w:rFonts w:ascii="Arial" w:cs="Arial" w:eastAsia="Arial" w:hAnsi="Arial"/>
          <w:color w:val="000000"/>
          <w:sz w:val="24"/>
          <w:szCs w:val="24"/>
          <w:rtl w:val="0"/>
        </w:rPr>
        <w:t xml:space="preserve">The Agency shall develop, in the timescales specified in the Order Form, quality plans that ensure that all aspects of the Goods or Services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seek Approval from the Client (not be unreasonably withheld or delayed) of the Quality Plans before implementing them. Approval shall not act as an endorsement of the Quality Plans and shall not relieve the Agency of its responsibility for ensuring that the Goods or Services are provided to the standard required by this Contract.</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Agency shall provide all Goods or Services in accordance with the Quality Plans.</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that the Agency Personnel shall at all times during the Order Contract Period: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Goods or Services in accordance with this Contract;</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Goods or Services; and</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24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Client (including, if so required by the Client, the ICT Policy) and provide the Goods or Services to the reasonable satisfaction of the Client.</w:t>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ICT Audit</w:t>
      </w:r>
    </w:p>
    <w:p w:rsidR="00000000" w:rsidDel="00000000" w:rsidP="00000000" w:rsidRDefault="00000000" w:rsidRPr="00000000" w14:paraId="0000005A">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allow any auditor access to the Agency  premises to:</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Agency System and pre-operational environment such as information relating to Testing;</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Agency ’s quality management systems including all relevant Quality Plans.</w:t>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578" w:hanging="578"/>
        <w:rPr>
          <w:color w:val="000000"/>
          <w:sz w:val="24"/>
          <w:szCs w:val="24"/>
        </w:rPr>
      </w:pPr>
      <w:r w:rsidDel="00000000" w:rsidR="00000000" w:rsidRPr="00000000">
        <w:rPr>
          <w:rFonts w:ascii="Arial" w:cs="Arial" w:eastAsia="Arial" w:hAnsi="Arial"/>
          <w:color w:val="000000"/>
          <w:sz w:val="24"/>
          <w:szCs w:val="24"/>
          <w:rtl w:val="0"/>
        </w:rPr>
        <w:t xml:space="preserve">If specified by the Client in the Order Form, the Agency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Client for Approval in accordance with the timetable and instructions specified by the Client.</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578" w:hanging="578"/>
        <w:rPr>
          <w:color w:val="000000"/>
          <w:sz w:val="24"/>
          <w:szCs w:val="24"/>
        </w:rPr>
      </w:pPr>
      <w:r w:rsidDel="00000000" w:rsidR="00000000" w:rsidRPr="00000000">
        <w:rPr>
          <w:rFonts w:ascii="Arial" w:cs="Arial" w:eastAsia="Arial" w:hAnsi="Arial"/>
          <w:color w:val="000000"/>
          <w:sz w:val="24"/>
          <w:szCs w:val="24"/>
          <w:rtl w:val="0"/>
        </w:rPr>
        <w:t xml:space="preserve">Once the Maintenance Schedule has been Approved, the Agency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give as much notice as is reasonably practicable to the Client prior to carrying out any Emergency Maintenance.</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578" w:hanging="57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Goods or Services.</w:t>
      </w:r>
    </w:p>
    <w:p w:rsidR="00000000" w:rsidDel="00000000" w:rsidP="00000000" w:rsidRDefault="00000000" w:rsidRPr="00000000" w14:paraId="00000063">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in ICT</w:t>
      </w:r>
    </w:p>
    <w:p w:rsidR="00000000" w:rsidDel="00000000" w:rsidP="00000000" w:rsidRDefault="00000000" w:rsidRPr="00000000" w14:paraId="00000064">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Assignments granted by the Agency: Specially Written Software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assigns (by present assignment of future rights to take effect immediately on it coming into existence) to the Client with full guarantee (or shall procure assignment to the Client), title to and all rights and interest in the Specially Written Software together with and including:</w:t>
      </w:r>
    </w:p>
    <w:p w:rsidR="00000000" w:rsidDel="00000000" w:rsidP="00000000" w:rsidRDefault="00000000" w:rsidRPr="00000000" w14:paraId="00000066">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7">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color w:val="000000"/>
          <w:sz w:val="24"/>
          <w:szCs w:val="24"/>
        </w:rPr>
      </w:pPr>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Client of all Specially Written Software or New IPRs that are a modification, customisation, configuration or enhancement to any COTS Software; </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 to the Client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Client and the Client shall become the owner of such media upon receipt; and</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Client of any of the Agency’s Existing IPRs or Third Party IPRs which are embedded or which are an integral part of the Specially Written Software or New IPR and the Agency hereby grants to the Client and shall procure that any relevant third party licensor shall grant to the Client a perpetual, irrevocable, non-exclusive, assignable, royalty-free licence to use, sub-license and/or commercially exploit such Agency’s Existing IPRs and Third Party IPRs to the extent that it is necessary to enable the Client to obtain the full benefits of ownership of the Specially Written Software and New IPRs.</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promptly execute all such assignments as are required to ensure that any rights in the Specially Written Software and New IPRs are properly transferred to the Client.</w:t>
      </w:r>
    </w:p>
    <w:p w:rsidR="00000000" w:rsidDel="00000000" w:rsidP="00000000" w:rsidRDefault="00000000" w:rsidRPr="00000000" w14:paraId="0000006D">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Licences for non-COTS IPR from the Agency and third parties to the Buyer</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Client gives its Approval the Agency must not use any:</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Client Approves the use of the Agency’s Existing IPR that is not COTS Software the Agency shall grants to the Client a perpetual, royalty-free and non-exclusive licence to use adapt, and sub-license the same for any purpose relating to the Goods or Services (or substantially equivalent deliverables) or for any purpose relating to the exercise of the Buyer’s (or, if the Client is a Central Government Body, any other Central Government Body’s) business or function including  the right to load, execute, store, transmit, display and copy (for the purposes of archiving, backing-up, loading, execution, storage, transmission or display) for the Order Contract Period and after expiry of the Contract to the extent necessary to ensure continuity of service and an effective transition of Services to a Replacement Agency.</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Client Approves the use of third party Software that is not COTS Software the Agency shall procure that the owners or the authorised licensors of any such Software grant a direct licence to the Client on terms at least equivalent to those set out in Paragraph 9.2.2. If the Agency cannot obtain such a licence for the Client it shall:</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Client in writing giving details of what licence terms can be obtained and whether there are alternative software providers which the Agency could seek to use; and</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Client Approves the terms of the licence from the relevant third party.</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Agency is unable to provide a license to the Agency’s Existing IPR in accordance with Paragraph 9.2.2 above, it must meet the requirement by making use of COTS Software or Specially Written Software.  </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may terminate a licence granted under paragraph 9.2.1 by giving at least thirty (30) days’ notice in writing if there is an Authority Cause which constitutes a material Default which, if capable of remedy, is not remedied within twenty (20) Working Days after the Agency gives the Client written notice specifying the breach and requiring its remedy.</w:t>
      </w:r>
    </w:p>
    <w:p w:rsidR="00000000" w:rsidDel="00000000" w:rsidP="00000000" w:rsidRDefault="00000000" w:rsidRPr="00000000" w14:paraId="00000077">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Licenses for COTS Software by the Agency and third parties to the Buyer</w:t>
      </w:r>
      <w:r w:rsidDel="00000000" w:rsidR="00000000" w:rsidRPr="00000000">
        <w:rPr>
          <w:rtl w:val="0"/>
        </w:rPr>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either grant, or procure that the owners or the authorised licensors of any COTS Software grant, a direct licence to the Client on terms no less favourable than those standard commercial terms on which such software is usually made commercially available.</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Agency owns the COTS Software it shall make available the COTS software to a Replacement Agency at a price and on terms no less favourable than those standard commercial terms on which such software is usually made commercially available.</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Agency shall support the Replacement Agency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notify the Client within seven (7) days of becoming aware of any COTS Software which in the next thirty-six (36) months:</w:t>
      </w:r>
    </w:p>
    <w:p w:rsidR="00000000" w:rsidDel="00000000" w:rsidP="00000000" w:rsidRDefault="00000000" w:rsidRPr="00000000" w14:paraId="0000007C">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7D">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7E">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Client's</w:t>
      </w:r>
      <w:r w:rsidDel="00000000" w:rsidR="00000000" w:rsidRPr="00000000">
        <w:rPr>
          <w:rFonts w:ascii="Arial" w:cs="Arial" w:eastAsia="Arial" w:hAnsi="Arial"/>
          <w:b w:val="1"/>
          <w:color w:val="000000"/>
          <w:sz w:val="24"/>
          <w:szCs w:val="24"/>
          <w:rtl w:val="0"/>
        </w:rPr>
        <w:t xml:space="preserve"> right to assign/novate licences</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assign, novate or otherwise transfer its rights and obligations under the licences granted pursuant to paragraph 9.2 (to:</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1">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Client ceases to be a Central Government Body, the successor body to the Client shall still be entitled to the benefit of the licences granted in paragraph 9.2.</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grants to the Agency a royalty-free, non-exclusive, non-transferable licence during the Contract Period to use the Client Software and the Specially Written Software solely to the extent necessary for providing the Goods or Services in accordance with this Contract, including the right to grant sub-licences to Sub-Contractors provided that any relevant Sub-Contractor has entered into a confidentiality undertaking with the Agency on the same terms as set out in Clause 15 (Confidentiality).</w:t>
      </w:r>
    </w:p>
    <w:p w:rsidR="00000000" w:rsidDel="00000000" w:rsidP="00000000" w:rsidRDefault="00000000" w:rsidRPr="00000000" w14:paraId="00000085">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Open Source Publication</w:t>
      </w:r>
      <w:r w:rsidDel="00000000" w:rsidR="00000000" w:rsidRPr="00000000">
        <w:rPr>
          <w:rtl w:val="0"/>
        </w:rPr>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Client otherwise agrees in advance in writing (and subject to paragraph 9.6.3) all Specially Written Software and computer program elements of New IPR shall be created in a format, or able to be converted (in which case the Agency shall also provide the converted format to the Buyer) into a format, which is:</w:t>
      </w:r>
    </w:p>
    <w:p w:rsidR="00000000" w:rsidDel="00000000" w:rsidP="00000000" w:rsidRDefault="00000000" w:rsidRPr="00000000" w14:paraId="00000087">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Client as Open Source; and </w:t>
      </w:r>
    </w:p>
    <w:p w:rsidR="00000000" w:rsidDel="00000000" w:rsidP="00000000" w:rsidRDefault="00000000" w:rsidRPr="00000000" w14:paraId="00000088">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9">
      <w:pPr>
        <w:ind w:left="936"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and the Client may, at its sole discretion, publish the same as Open Source.</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hereby warrants that the Specially Written Software and the New IPR:</w:t>
      </w:r>
    </w:p>
    <w:p w:rsidR="00000000" w:rsidDel="00000000" w:rsidP="00000000" w:rsidRDefault="00000000" w:rsidRPr="00000000" w14:paraId="0000008B">
      <w:pPr>
        <w:numPr>
          <w:ilvl w:val="3"/>
          <w:numId w:val="2"/>
        </w:numPr>
        <w:pBdr>
          <w:top w:space="0" w:sz="0" w:val="nil"/>
          <w:left w:space="0" w:sz="0" w:val="nil"/>
          <w:bottom w:space="0" w:sz="0" w:val="nil"/>
          <w:right w:space="0" w:sz="0" w:val="nil"/>
          <w:between w:space="0" w:sz="0" w:val="nil"/>
        </w:pBdr>
        <w:spacing w:after="2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Agency has used reasonable endeavours when developing the same to ensure that publication by the Client will not enable a third party to use them in any way which could reasonably be foreseen to compromise the operation, running or security of the Specially Written Software, New IPRs or the Client System;</w:t>
      </w:r>
    </w:p>
    <w:p w:rsidR="00000000" w:rsidDel="00000000" w:rsidP="00000000" w:rsidRDefault="00000000" w:rsidRPr="00000000" w14:paraId="0000008C">
      <w:pPr>
        <w:numPr>
          <w:ilvl w:val="3"/>
          <w:numId w:val="2"/>
        </w:numPr>
        <w:pBdr>
          <w:top w:space="0" w:sz="0" w:val="nil"/>
          <w:left w:space="0" w:sz="0" w:val="nil"/>
          <w:bottom w:space="0" w:sz="0" w:val="nil"/>
          <w:right w:space="0" w:sz="0" w:val="nil"/>
          <w:between w:space="0" w:sz="0" w:val="nil"/>
        </w:pBdr>
        <w:spacing w:after="2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Client shall not cause any harm or damage to any party using them;</w:t>
      </w:r>
    </w:p>
    <w:p w:rsidR="00000000" w:rsidDel="00000000" w:rsidP="00000000" w:rsidRDefault="00000000" w:rsidRPr="00000000" w14:paraId="0000008D">
      <w:pPr>
        <w:numPr>
          <w:ilvl w:val="3"/>
          <w:numId w:val="2"/>
        </w:numPr>
        <w:pBdr>
          <w:top w:space="0" w:sz="0" w:val="nil"/>
          <w:left w:space="0" w:sz="0" w:val="nil"/>
          <w:bottom w:space="0" w:sz="0" w:val="nil"/>
          <w:right w:space="0" w:sz="0" w:val="nil"/>
          <w:between w:space="0" w:sz="0" w:val="nil"/>
        </w:pBdr>
        <w:spacing w:after="2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Client into disrepute;</w:t>
      </w:r>
    </w:p>
    <w:p w:rsidR="00000000" w:rsidDel="00000000" w:rsidP="00000000" w:rsidRDefault="00000000" w:rsidRPr="00000000" w14:paraId="0000008E">
      <w:pPr>
        <w:numPr>
          <w:ilvl w:val="3"/>
          <w:numId w:val="2"/>
        </w:numPr>
        <w:pBdr>
          <w:top w:space="0" w:sz="0" w:val="nil"/>
          <w:left w:space="0" w:sz="0" w:val="nil"/>
          <w:bottom w:space="0" w:sz="0" w:val="nil"/>
          <w:right w:space="0" w:sz="0" w:val="nil"/>
          <w:between w:space="0" w:sz="0" w:val="nil"/>
        </w:pBdr>
        <w:spacing w:after="2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8F">
      <w:pPr>
        <w:numPr>
          <w:ilvl w:val="3"/>
          <w:numId w:val="2"/>
        </w:numPr>
        <w:pBdr>
          <w:top w:space="0" w:sz="0" w:val="nil"/>
          <w:left w:space="0" w:sz="0" w:val="nil"/>
          <w:bottom w:space="0" w:sz="0" w:val="nil"/>
          <w:right w:space="0" w:sz="0" w:val="nil"/>
          <w:between w:space="0" w:sz="0" w:val="nil"/>
        </w:pBdr>
        <w:spacing w:after="220" w:line="240" w:lineRule="auto"/>
        <w:ind w:left="2592" w:hanging="936"/>
        <w:rPr>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Client to the Agency; and</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spacing w:after="2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Client has Approved a request by the Agency for any part of the Specially Written Software or New IPRs to be excluded from the requirement to be in an Open Source format due to the intention to embed or integrate Agency Existing IPRs and/or Third Party IPRs (and where the Parties agree that such IPRs are not intended to be published as Open Source), the Agency shall:</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spacing w:after="24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Goods or Services based on IPRs which are to be excluded from Open Source publication; and </w:t>
      </w:r>
    </w:p>
    <w:p w:rsidR="00000000" w:rsidDel="00000000" w:rsidP="00000000" w:rsidRDefault="00000000" w:rsidRPr="00000000" w14:paraId="00000093">
      <w:pPr>
        <w:numPr>
          <w:ilvl w:val="3"/>
          <w:numId w:val="2"/>
        </w:numPr>
        <w:pBdr>
          <w:top w:space="0" w:sz="0" w:val="nil"/>
          <w:left w:space="0" w:sz="0" w:val="nil"/>
          <w:bottom w:space="0" w:sz="0" w:val="nil"/>
          <w:right w:space="0" w:sz="0" w:val="nil"/>
          <w:between w:space="0" w:sz="0" w:val="nil"/>
        </w:pBdr>
        <w:spacing w:after="24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Goods or Services based on such IPRs, will have on any other Specially Written Software and/or New IPRs and the Buyer’s ability to publish such other items or Goods or Services as Open Source.</w:t>
      </w:r>
    </w:p>
    <w:p w:rsidR="00000000" w:rsidDel="00000000" w:rsidP="00000000" w:rsidRDefault="00000000" w:rsidRPr="00000000" w14:paraId="00000094">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Malicious Software</w:t>
      </w:r>
      <w:r w:rsidDel="00000000" w:rsidR="00000000" w:rsidRPr="00000000">
        <w:rPr>
          <w:rtl w:val="0"/>
        </w:rPr>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Goods or Services to its desired operating efficiency.</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8">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Agency, where the Malicious Software originates from the Agency Software, the third party Software supplied by the Agency or the Government Data (whilst the Government Data was under the control of the Agency) unless the Agency can demonstrate that such Malicious Software was present and not quarantined or otherwise identified by the Client when provided to the Agency; and</w:t>
      </w:r>
    </w:p>
    <w:p w:rsidR="00000000" w:rsidDel="00000000" w:rsidP="00000000" w:rsidRDefault="00000000" w:rsidRPr="00000000" w14:paraId="00000099">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Client, if the Malicious Software originates from the Client Software or the Client Data (whilst the Client Data was under the control of the Buyer).</w:t>
      </w:r>
    </w:p>
    <w:p w:rsidR="00000000" w:rsidDel="00000000" w:rsidP="00000000" w:rsidRDefault="00000000" w:rsidRPr="00000000" w14:paraId="0000009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[Agency Furnished Terms</w:t>
      </w:r>
    </w:p>
    <w:p w:rsidR="00000000" w:rsidDel="00000000" w:rsidP="00000000" w:rsidRDefault="00000000" w:rsidRPr="00000000" w14:paraId="0000009C">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color w:val="000000"/>
          <w:sz w:val="24"/>
          <w:szCs w:val="24"/>
          <w:highlight w:val="yellow"/>
        </w:rPr>
      </w:pPr>
      <w:r w:rsidDel="00000000" w:rsidR="00000000" w:rsidRPr="00000000">
        <w:rPr>
          <w:rFonts w:ascii="Arial" w:cs="Arial" w:eastAsia="Arial" w:hAnsi="Arial"/>
          <w:color w:val="000000"/>
          <w:sz w:val="24"/>
          <w:szCs w:val="24"/>
          <w:highlight w:val="yellow"/>
          <w:rtl w:val="0"/>
        </w:rPr>
        <w:tab/>
      </w:r>
      <w:r w:rsidDel="00000000" w:rsidR="00000000" w:rsidRPr="00000000">
        <w:rPr>
          <w:rFonts w:ascii="Arial" w:cs="Arial" w:eastAsia="Arial" w:hAnsi="Arial"/>
          <w:b w:val="1"/>
          <w:color w:val="000000"/>
          <w:sz w:val="24"/>
          <w:szCs w:val="24"/>
          <w:highlight w:val="yellow"/>
          <w:rtl w:val="0"/>
        </w:rPr>
        <w:t xml:space="preserve">Software Licence Terms</w:t>
      </w:r>
      <w:r w:rsidDel="00000000" w:rsidR="00000000" w:rsidRPr="00000000">
        <w:rPr>
          <w:rtl w:val="0"/>
        </w:rPr>
      </w:r>
    </w:p>
    <w:p w:rsidR="00000000" w:rsidDel="00000000" w:rsidP="00000000" w:rsidRDefault="00000000" w:rsidRPr="00000000" w14:paraId="0000009D">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9E">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9.3 are detailed in [insert reference to relevant Schedule].</w:t>
      </w:r>
    </w:p>
    <w:p w:rsidR="00000000" w:rsidDel="00000000" w:rsidP="00000000" w:rsidRDefault="00000000" w:rsidRPr="00000000" w14:paraId="0000009F">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r w:rsidDel="00000000" w:rsidR="00000000" w:rsidRPr="00000000">
        <w:rPr>
          <w:rtl w:val="0"/>
        </w:rPr>
      </w:r>
    </w:p>
    <w:p w:rsidR="00000000" w:rsidDel="00000000" w:rsidP="00000000" w:rsidRDefault="00000000" w:rsidRPr="00000000" w14:paraId="000000A0">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[insert reference to relevant Schedule].</w:t>
      </w:r>
    </w:p>
    <w:p w:rsidR="00000000" w:rsidDel="00000000" w:rsidP="00000000" w:rsidRDefault="00000000" w:rsidRPr="00000000" w14:paraId="000000A1">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spacing w:after="120" w:before="120" w:line="240" w:lineRule="auto"/>
        <w:ind w:left="2592" w:hanging="936"/>
        <w:rPr>
          <w:b w:val="1"/>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p>
    <w:p w:rsidR="00000000" w:rsidDel="00000000" w:rsidP="00000000" w:rsidRDefault="00000000" w:rsidRPr="00000000" w14:paraId="000000A3">
      <w:pPr>
        <w:rPr>
          <w:b w:val="1"/>
          <w:sz w:val="24"/>
          <w:szCs w:val="24"/>
          <w:highlight w:val="yellow"/>
        </w:rPr>
      </w:pPr>
      <w:bookmarkStart w:colFirst="0" w:colLast="0" w:name="_heading=h.gjdgxs" w:id="4"/>
      <w:bookmarkEnd w:id="4"/>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A5">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6">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6 (ICT Services)</w:t>
    </w:r>
  </w:p>
  <w:p w:rsidR="00000000" w:rsidDel="00000000" w:rsidP="00000000" w:rsidRDefault="00000000" w:rsidRPr="00000000" w14:paraId="000000A8">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b w:val="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87506"/>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OJStyle0" w:customStyle="1">
    <w:name w:val="MOJ Style0"/>
    <w:basedOn w:val="Normal"/>
    <w:autoRedefine w:val="1"/>
    <w:uiPriority w:val="99"/>
    <w:rsid w:val="00187506"/>
    <w:pPr>
      <w:numPr>
        <w:numId w:val="1"/>
      </w:numPr>
      <w:suppressAutoHyphens w:val="1"/>
      <w:overflowPunct w:val="0"/>
      <w:autoSpaceDE w:val="0"/>
      <w:autoSpaceDN w:val="0"/>
      <w:adjustRightInd w:val="0"/>
      <w:spacing w:after="0" w:line="360" w:lineRule="auto"/>
      <w:jc w:val="both"/>
      <w:textAlignment w:val="baseline"/>
    </w:pPr>
    <w:rPr>
      <w:rFonts w:ascii="Arial" w:cs="Arial" w:eastAsia="MS Mincho" w:hAnsi="Arial"/>
      <w:b w:val="1"/>
      <w:lang w:eastAsia="ja-JP"/>
    </w:rPr>
  </w:style>
  <w:style w:type="paragraph" w:styleId="MOJLevel1" w:customStyle="1">
    <w:name w:val="MOJ Level 1"/>
    <w:basedOn w:val="Normal"/>
    <w:next w:val="MOJLevel2"/>
    <w:autoRedefine w:val="1"/>
    <w:uiPriority w:val="99"/>
    <w:rsid w:val="00187506"/>
    <w:pPr>
      <w:numPr>
        <w:ilvl w:val="1"/>
        <w:numId w:val="1"/>
      </w:numPr>
      <w:suppressAutoHyphens w:val="1"/>
      <w:overflowPunct w:val="0"/>
      <w:autoSpaceDE w:val="0"/>
      <w:autoSpaceDN w:val="0"/>
      <w:adjustRightInd w:val="0"/>
      <w:spacing w:after="0" w:before="240" w:line="360" w:lineRule="auto"/>
      <w:jc w:val="both"/>
      <w:textAlignment w:val="baseline"/>
    </w:pPr>
    <w:rPr>
      <w:rFonts w:ascii="Arial" w:cs="Arial" w:eastAsia="MS Mincho" w:hAnsi="Arial"/>
      <w:b w:val="1"/>
      <w:lang w:eastAsia="ja-JP"/>
    </w:rPr>
  </w:style>
  <w:style w:type="paragraph" w:styleId="MOJLevel2" w:customStyle="1">
    <w:name w:val="MOJ Level 2"/>
    <w:basedOn w:val="Normal"/>
    <w:autoRedefine w:val="1"/>
    <w:uiPriority w:val="99"/>
    <w:rsid w:val="00187506"/>
    <w:pPr>
      <w:numPr>
        <w:ilvl w:val="2"/>
        <w:numId w:val="1"/>
      </w:numPr>
      <w:overflowPunct w:val="0"/>
      <w:autoSpaceDE w:val="0"/>
      <w:autoSpaceDN w:val="0"/>
      <w:adjustRightInd w:val="0"/>
      <w:spacing w:after="0" w:line="360" w:lineRule="auto"/>
      <w:jc w:val="both"/>
      <w:textAlignment w:val="baseline"/>
    </w:pPr>
    <w:rPr>
      <w:rFonts w:ascii="Arial" w:cs="Arial" w:eastAsia="MS Mincho" w:hAnsi="Arial"/>
      <w:bCs w:val="1"/>
      <w:lang w:eastAsia="ja-JP"/>
    </w:rPr>
  </w:style>
  <w:style w:type="paragraph" w:styleId="MOJLevel3" w:customStyle="1">
    <w:name w:val="MOJ Level 3"/>
    <w:basedOn w:val="Normal"/>
    <w:autoRedefine w:val="1"/>
    <w:uiPriority w:val="99"/>
    <w:rsid w:val="00187506"/>
    <w:pPr>
      <w:numPr>
        <w:ilvl w:val="3"/>
        <w:numId w:val="1"/>
      </w:numPr>
      <w:tabs>
        <w:tab w:val="num" w:pos="1620"/>
      </w:tabs>
      <w:overflowPunct w:val="0"/>
      <w:autoSpaceDE w:val="0"/>
      <w:autoSpaceDN w:val="0"/>
      <w:adjustRightInd w:val="0"/>
      <w:spacing w:after="0" w:line="360" w:lineRule="auto"/>
      <w:jc w:val="both"/>
      <w:textAlignment w:val="baseline"/>
    </w:pPr>
    <w:rPr>
      <w:rFonts w:ascii="Arial" w:cs="Arial" w:eastAsia="MS Mincho" w:hAnsi="Arial"/>
      <w:bCs w:val="1"/>
      <w:lang w:eastAsia="ja-JP"/>
    </w:rPr>
  </w:style>
  <w:style w:type="paragraph" w:styleId="MOJLevel4" w:customStyle="1">
    <w:name w:val="MOJ Level 4"/>
    <w:basedOn w:val="Normal"/>
    <w:autoRedefine w:val="1"/>
    <w:uiPriority w:val="99"/>
    <w:rsid w:val="00187506"/>
    <w:pPr>
      <w:numPr>
        <w:ilvl w:val="4"/>
        <w:numId w:val="1"/>
      </w:numPr>
      <w:overflowPunct w:val="0"/>
      <w:autoSpaceDE w:val="0"/>
      <w:autoSpaceDN w:val="0"/>
      <w:adjustRightInd w:val="0"/>
      <w:spacing w:after="0" w:line="360" w:lineRule="auto"/>
      <w:jc w:val="both"/>
      <w:textAlignment w:val="baseline"/>
    </w:pPr>
    <w:rPr>
      <w:rFonts w:ascii="Arial" w:cs="Arial" w:eastAsia="MS Mincho" w:hAnsi="Arial"/>
      <w:lang w:eastAsia="ja-JP"/>
    </w:rPr>
  </w:style>
  <w:style w:type="paragraph" w:styleId="Sch1styleclause" w:customStyle="1">
    <w:name w:val="Sch  (1style) clause"/>
    <w:basedOn w:val="Normal"/>
    <w:rsid w:val="00187506"/>
    <w:pPr>
      <w:numPr>
        <w:ilvl w:val="2"/>
        <w:numId w:val="2"/>
      </w:numPr>
      <w:overflowPunct w:val="0"/>
      <w:autoSpaceDE w:val="0"/>
      <w:autoSpaceDN w:val="0"/>
      <w:adjustRightInd w:val="0"/>
      <w:spacing w:after="0" w:before="320" w:line="300" w:lineRule="atLeast"/>
      <w:jc w:val="both"/>
      <w:textAlignment w:val="baseline"/>
      <w:outlineLvl w:val="0"/>
    </w:pPr>
    <w:rPr>
      <w:rFonts w:ascii="Times New Roman" w:cs="Arial" w:eastAsia="Times New Roman" w:hAnsi="Times New Roman"/>
      <w:b w:val="1"/>
      <w:smallCaps w:val="1"/>
      <w:szCs w:val="20"/>
    </w:rPr>
  </w:style>
  <w:style w:type="paragraph" w:styleId="Sch1stylesubclause" w:customStyle="1">
    <w:name w:val="Sch  (1style) sub clause"/>
    <w:basedOn w:val="Normal"/>
    <w:rsid w:val="00187506"/>
    <w:pPr>
      <w:numPr>
        <w:ilvl w:val="3"/>
        <w:numId w:val="2"/>
      </w:numPr>
      <w:overflowPunct w:val="0"/>
      <w:autoSpaceDE w:val="0"/>
      <w:autoSpaceDN w:val="0"/>
      <w:adjustRightInd w:val="0"/>
      <w:spacing w:after="120" w:before="280" w:line="300" w:lineRule="atLeast"/>
      <w:jc w:val="both"/>
      <w:textAlignment w:val="baseline"/>
      <w:outlineLvl w:val="1"/>
    </w:pPr>
    <w:rPr>
      <w:rFonts w:ascii="Times New Roman" w:cs="Arial" w:eastAsia="Times New Roman" w:hAnsi="Times New Roman"/>
      <w:color w:val="000000"/>
      <w:szCs w:val="20"/>
    </w:rPr>
  </w:style>
  <w:style w:type="table" w:styleId="18" w:customStyle="1">
    <w:name w:val="18"/>
    <w:basedOn w:val="TableNormal"/>
    <w:rsid w:val="00187506"/>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8W1sKIoXWDLYyMTNB29BMUxleg==">AMUW2mXJq56LqvUTpKYfKT1T5dA08sZcy/wPfmn0lZ1KB7RB8++9OtXdVQSH9oa7nDNAItODKSgscUGWDguMFYZvzOfdKEcdYEmUhN4R56/Fz+5R1B1mhogrNF2n+GrE7qQdOMjv6/h08Vgy0eu3LZ8Ul2VVRsN0IvozLYrQOlnB3ZJAQ0gTbp0F81DIOOjgfCcWrVnOxeWa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2021-07-15T10:11:00Z</dcterms:created>
  <dc:creator>Hannah Wright</dc:creator>
</cp:coreProperties>
</file>